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0BD9D" w14:textId="77777777" w:rsidR="005E7865" w:rsidRPr="000E2206" w:rsidRDefault="005E7865" w:rsidP="005E7865">
      <w:pPr>
        <w:spacing w:after="120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16"/>
        </w:rPr>
        <w:t>Table S5</w:t>
      </w:r>
      <w:r w:rsidRPr="000E2206">
        <w:rPr>
          <w:rFonts w:ascii="Times New Roman" w:hAnsi="Times New Roman" w:cs="Times New Roman"/>
          <w:b/>
          <w:bCs/>
          <w:color w:val="FF0000"/>
          <w:sz w:val="16"/>
          <w:szCs w:val="16"/>
        </w:rPr>
        <w:t xml:space="preserve">. </w:t>
      </w:r>
      <w:bookmarkStart w:id="0" w:name="_Hlk239449028"/>
      <w:r w:rsidRPr="000E2206">
        <w:rPr>
          <w:rFonts w:ascii="Times New Roman" w:hAnsi="Times New Roman" w:cs="Times New Roman"/>
          <w:color w:val="FF0000"/>
          <w:sz w:val="16"/>
          <w:szCs w:val="16"/>
          <w:lang w:eastAsia="ja-JP"/>
        </w:rPr>
        <w:t xml:space="preserve"> </w:t>
      </w:r>
      <w:bookmarkStart w:id="1" w:name="_Hlk239520612"/>
      <w:r w:rsidRPr="000E2206">
        <w:rPr>
          <w:rFonts w:ascii="Times New Roman" w:hAnsi="Times New Roman" w:cs="Times New Roman"/>
          <w:color w:val="FF0000"/>
          <w:sz w:val="16"/>
          <w:szCs w:val="16"/>
        </w:rPr>
        <w:t>Comparison of abdominal visceral fat area (</w:t>
      </w:r>
      <w:r w:rsidRPr="000E2206">
        <w:rPr>
          <w:rFonts w:ascii="Times New Roman" w:hAnsi="Times New Roman" w:cs="Times New Roman"/>
          <w:b/>
          <w:bCs/>
          <w:color w:val="FF0000"/>
          <w:sz w:val="16"/>
          <w:szCs w:val="16"/>
        </w:rPr>
        <w:t>cm²)</w:t>
      </w:r>
      <w:r w:rsidRPr="000E2206">
        <w:rPr>
          <w:rFonts w:ascii="Times New Roman" w:hAnsi="Times New Roman" w:cs="Times New Roman"/>
          <w:color w:val="FF0000"/>
          <w:sz w:val="16"/>
          <w:szCs w:val="16"/>
        </w:rPr>
        <w:t xml:space="preserve"> between the placebo and TSHE groups in a VSR </w:t>
      </w:r>
      <w:r w:rsidRPr="000E2206">
        <w:rPr>
          <w:rFonts w:ascii="Times New Roman" w:hAnsi="Times New Roman" w:cs="Times New Roman"/>
          <w:b/>
          <w:color w:val="FF0000"/>
          <w:sz w:val="16"/>
          <w:szCs w:val="16"/>
        </w:rPr>
        <w:t>≥</w:t>
      </w:r>
      <w:r w:rsidRPr="000E220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E2206">
        <w:rPr>
          <w:rFonts w:ascii="Times New Roman" w:hAnsi="Times New Roman" w:cs="Times New Roman"/>
          <w:color w:val="FF0000"/>
          <w:sz w:val="16"/>
          <w:szCs w:val="16"/>
        </w:rPr>
        <w:t xml:space="preserve">0.4 subgroup, with and without adjustment for </w:t>
      </w:r>
      <w:r>
        <w:rPr>
          <w:rFonts w:ascii="Times New Roman" w:hAnsi="Times New Roman" w:cs="Times New Roman"/>
          <w:color w:val="FF0000"/>
          <w:sz w:val="16"/>
          <w:szCs w:val="16"/>
        </w:rPr>
        <w:t>c</w:t>
      </w:r>
      <w:r w:rsidRPr="000E2206">
        <w:rPr>
          <w:rFonts w:ascii="Times New Roman" w:hAnsi="Times New Roman" w:cs="Times New Roman"/>
          <w:color w:val="FF0000"/>
          <w:sz w:val="16"/>
          <w:szCs w:val="16"/>
        </w:rPr>
        <w:t>ovariates.</w:t>
      </w:r>
      <w:bookmarkEnd w:id="0"/>
      <w:bookmarkEnd w:id="1"/>
    </w:p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4"/>
        <w:gridCol w:w="1670"/>
        <w:gridCol w:w="1670"/>
        <w:gridCol w:w="974"/>
      </w:tblGrid>
      <w:tr w:rsidR="005E7865" w:rsidRPr="000E2206" w14:paraId="259C2641" w14:textId="77777777" w:rsidTr="008F49D1"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D0CECE" w:themeFill="background2" w:themeFillShade="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C6FDD0" w14:textId="77777777" w:rsidR="005E7865" w:rsidRPr="000E2206" w:rsidRDefault="005E7865" w:rsidP="008F49D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</w:t>
            </w: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ovariates</w:t>
            </w:r>
          </w:p>
        </w:tc>
        <w:tc>
          <w:tcPr>
            <w:tcW w:w="1670" w:type="dxa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D0CECE" w:themeFill="background2" w:themeFillShade="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03DCDF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TSHE </w:t>
            </w:r>
          </w:p>
          <w:p w14:paraId="2D3D155B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EMM [95% CI] </w:t>
            </w:r>
          </w:p>
        </w:tc>
        <w:tc>
          <w:tcPr>
            <w:tcW w:w="1670" w:type="dxa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D0CECE" w:themeFill="background2" w:themeFillShade="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68FC55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Placebo </w:t>
            </w:r>
          </w:p>
          <w:p w14:paraId="25A50C2B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EMM [95% CI]</w:t>
            </w:r>
          </w:p>
        </w:tc>
        <w:tc>
          <w:tcPr>
            <w:tcW w:w="974" w:type="dxa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D0CECE" w:themeFill="background2" w:themeFillShade="E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D08571" w14:textId="77777777" w:rsidR="005E7865" w:rsidRPr="000E2206" w:rsidRDefault="005E7865" w:rsidP="008F49D1">
            <w:pPr>
              <w:ind w:firstLineChars="100" w:firstLine="161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p value</w:t>
            </w:r>
          </w:p>
        </w:tc>
      </w:tr>
      <w:tr w:rsidR="005E7865" w:rsidRPr="000E2206" w14:paraId="5554304C" w14:textId="77777777" w:rsidTr="008F49D1"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745C29" w14:textId="77777777" w:rsidR="005E7865" w:rsidRPr="000E2206" w:rsidRDefault="005E7865" w:rsidP="008F49D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Baseline AVFA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0074D9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127.5 [121.3, 133.7]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8F8EA9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138.1 [131.4, 144.8]</w:t>
            </w:r>
          </w:p>
        </w:tc>
        <w:tc>
          <w:tcPr>
            <w:tcW w:w="97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0BD89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0.024</w:t>
            </w:r>
          </w:p>
        </w:tc>
      </w:tr>
      <w:tr w:rsidR="005E7865" w:rsidRPr="000E2206" w14:paraId="342B7C1B" w14:textId="77777777" w:rsidTr="008F49D1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CDB372" w14:textId="77777777" w:rsidR="005E7865" w:rsidRPr="000E2206" w:rsidRDefault="005E7865" w:rsidP="008F49D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Baseline AVFA, sex, baseline body fat percentage, and baseline fat-free mass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69DC1B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125.6 [115.9, 135.4]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2DBA6C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136.3 [124.9, 147.8]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58711" w14:textId="77777777" w:rsidR="005E7865" w:rsidRPr="000E2206" w:rsidRDefault="005E7865" w:rsidP="008F49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E220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0.036</w:t>
            </w:r>
          </w:p>
        </w:tc>
      </w:tr>
    </w:tbl>
    <w:p w14:paraId="7A7EF521" w14:textId="0344E4FD" w:rsidR="0067415F" w:rsidRDefault="005E7865">
      <w:r w:rsidRPr="000E2206">
        <w:rPr>
          <w:rFonts w:ascii="Times New Roman" w:hAnsi="Times New Roman" w:cs="Times New Roman"/>
          <w:color w:val="FF0000"/>
          <w:sz w:val="16"/>
          <w:szCs w:val="16"/>
        </w:rPr>
        <w:t>Data are EMMs at week 12 with 95% confidence intervals, estimated using linear mixed-effects models adjusted for the variables listed. p values are for the between-group difference (TSHE vs. placebo). AVFA, abdominal visceral fat area; CI, confidence interval; EMM, estimated marginal mean;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CB302E">
        <w:rPr>
          <w:rFonts w:ascii="Times New Roman" w:hAnsi="Times New Roman" w:cs="Times New Roman"/>
          <w:color w:val="FF0000"/>
          <w:sz w:val="16"/>
          <w:szCs w:val="16"/>
        </w:rPr>
        <w:t>VSR, visceral-to-subcutaneous fat ratio.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EB"/>
    <w:rsid w:val="004244E6"/>
    <w:rsid w:val="005E7865"/>
    <w:rsid w:val="0067415F"/>
    <w:rsid w:val="008D4BEB"/>
    <w:rsid w:val="00C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8718E-5110-43CE-B843-017FF671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B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B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B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B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2026-09-15T06:29:00Z</dcterms:created>
  <dcterms:modified xsi:type="dcterms:W3CDTF">2026-09-15T06:29:00Z</dcterms:modified>
</cp:coreProperties>
</file>