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BD" w:rsidRDefault="00E66BBD" w:rsidP="00E66BBD">
      <w:pPr>
        <w:ind w:right="-1"/>
        <w:rPr>
          <w:b/>
          <w:sz w:val="28"/>
          <w:szCs w:val="28"/>
        </w:rPr>
      </w:pPr>
      <w:r w:rsidRPr="000D1BEC">
        <w:rPr>
          <w:b/>
          <w:sz w:val="28"/>
          <w:szCs w:val="28"/>
        </w:rPr>
        <w:t>Supplementary</w:t>
      </w:r>
      <w:r w:rsidRPr="000D1BEC">
        <w:rPr>
          <w:rFonts w:hint="eastAsia"/>
          <w:b/>
          <w:sz w:val="28"/>
          <w:szCs w:val="28"/>
        </w:rPr>
        <w:t xml:space="preserve"> materials</w:t>
      </w:r>
    </w:p>
    <w:p w:rsidR="00E66BBD" w:rsidRPr="000D1BEC" w:rsidRDefault="00E66BBD" w:rsidP="00E66BBD">
      <w:pPr>
        <w:ind w:right="-1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4498"/>
      </w:tblGrid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(a)</w: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b)</w:t>
            </w:r>
          </w:p>
        </w:tc>
      </w:tr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4pt;margin-top:0;width:211.75pt;height:170.1pt;z-index:251660288;mso-position-horizontal-relative:text;mso-position-vertical-relative:text" wrapcoords="-65 0 -65 21518 21600 21518 21600 0 -65 0">
                  <v:imagedata r:id="rId4" o:title=""/>
                  <w10:wrap type="tight"/>
                </v:shape>
                <o:OLEObject Type="Embed" ProgID="SigmaPlotGraphicObject.7" ShapeID="_x0000_s1026" DrawAspect="Content" ObjectID="_1770983003" r:id="rId5"/>
              </w:pic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9" type="#_x0000_t75" style="position:absolute;margin-left:-4.25pt;margin-top:0;width:211.8pt;height:169.8pt;z-index:251663360;mso-position-horizontal-relative:text;mso-position-vertical-relative:text" wrapcoords="-77 0 -77 21504 21600 21504 21600 0 -77 0">
                  <v:imagedata r:id="rId6" o:title=""/>
                  <w10:wrap type="tight"/>
                </v:shape>
                <o:OLEObject Type="Embed" ProgID="SigmaPlotGraphicObject.7" ShapeID="_x0000_s1029" DrawAspect="Content" ObjectID="_1770983004" r:id="rId7"/>
              </w:pict>
            </w:r>
          </w:p>
        </w:tc>
      </w:tr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7" type="#_x0000_t75" style="position:absolute;margin-left:-4.45pt;margin-top:.9pt;width:211.8pt;height:169.8pt;z-index:251661312;mso-position-horizontal-relative:text;mso-position-vertical-relative:text" wrapcoords="-77 0 -77 21504 21600 21504 21600 0 -77 0">
                  <v:imagedata r:id="rId8" o:title=""/>
                  <w10:wrap type="tight"/>
                </v:shape>
                <o:OLEObject Type="Embed" ProgID="SigmaPlotGraphicObject.7" ShapeID="_x0000_s1027" DrawAspect="Content" ObjectID="_1770983005" r:id="rId9"/>
              </w:pic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0" type="#_x0000_t75" style="position:absolute;margin-left:-3.85pt;margin-top:2.1pt;width:211.65pt;height:169.95pt;z-index:251664384;mso-position-horizontal-relative:text;mso-position-vertical-relative:text" wrapcoords="-77 0 -77 21504 21600 21504 21600 0 -77 0">
                  <v:imagedata r:id="rId10" o:title=""/>
                  <w10:wrap type="tight"/>
                </v:shape>
                <o:OLEObject Type="Embed" ProgID="SigmaPlotGraphicObject.7" ShapeID="_x0000_s1030" DrawAspect="Content" ObjectID="_1770983006" r:id="rId11"/>
              </w:pict>
            </w:r>
          </w:p>
        </w:tc>
      </w:tr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pict>
                <v:shape id="_x0000_s1028" type="#_x0000_t75" style="position:absolute;margin-left:-5.15pt;margin-top:2.8pt;width:211.8pt;height:169.8pt;z-index:251662336;mso-position-horizontal-relative:text;mso-position-vertical-relative:text" wrapcoords="-77 0 -77 21504 21600 21504 21600 0 -77 0">
                  <v:imagedata r:id="rId12" o:title=""/>
                  <w10:wrap type="tight"/>
                </v:shape>
                <o:OLEObject Type="Embed" ProgID="SigmaPlotGraphicObject.7" ShapeID="_x0000_s1028" DrawAspect="Content" ObjectID="_1770983007" r:id="rId13"/>
              </w:pic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1" type="#_x0000_t75" style="position:absolute;margin-left:-4.85pt;margin-top:2.1pt;width:219pt;height:169.8pt;z-index:251665408;mso-position-horizontal-relative:text;mso-position-vertical-relative:text" wrapcoords="-74 0 -74 21504 21600 21504 21600 0 -74 0">
                  <v:imagedata r:id="rId14" o:title=""/>
                  <w10:wrap type="tight"/>
                </v:shape>
                <o:OLEObject Type="Embed" ProgID="SigmaPlotGraphicObject.7" ShapeID="_x0000_s1031" DrawAspect="Content" ObjectID="_1770983008" r:id="rId15"/>
              </w:pict>
            </w:r>
          </w:p>
        </w:tc>
      </w:tr>
    </w:tbl>
    <w:p w:rsidR="00E66BBD" w:rsidRDefault="00E66BBD" w:rsidP="00E66BBD">
      <w:pPr>
        <w:rPr>
          <w:rFonts w:ascii="Times New Roman" w:hAnsi="Times New Roman" w:cs="Times New Roman"/>
          <w:b/>
        </w:rPr>
      </w:pPr>
    </w:p>
    <w:p w:rsidR="00E66BBD" w:rsidRDefault="00E66BBD" w:rsidP="00E66B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4498"/>
      </w:tblGrid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d)</w:t>
            </w:r>
          </w:p>
        </w:tc>
      </w:tr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2" type="#_x0000_t75" style="position:absolute;margin-left:-3.95pt;margin-top:2.05pt;width:211.8pt;height:169.8pt;z-index:251666432;mso-position-horizontal-relative:text;mso-position-vertical-relative:text" wrapcoords="-77 0 -77 21504 21600 21504 21600 0 -77 0">
                  <v:imagedata r:id="rId16" o:title=""/>
                  <w10:wrap type="tight"/>
                </v:shape>
                <o:OLEObject Type="Embed" ProgID="SigmaPlotGraphicObject.7" ShapeID="_x0000_s1032" DrawAspect="Content" ObjectID="_1770983009" r:id="rId17"/>
              </w:pic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5" type="#_x0000_t75" style="position:absolute;margin-left:-4.5pt;margin-top:.8pt;width:219pt;height:169.8pt;z-index:251669504;mso-position-horizontal-relative:text;mso-position-vertical-relative:text" wrapcoords="-74 0 -74 21504 21600 21504 21600 0 -74 0">
                  <v:imagedata r:id="rId18" o:title=""/>
                  <w10:wrap type="tight"/>
                </v:shape>
                <o:OLEObject Type="Embed" ProgID="SigmaPlotGraphicObject.7" ShapeID="_x0000_s1035" DrawAspect="Content" ObjectID="_1770983010" r:id="rId19"/>
              </w:pict>
            </w:r>
          </w:p>
        </w:tc>
      </w:tr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3" type="#_x0000_t75" style="position:absolute;margin-left:-5.15pt;margin-top:.4pt;width:211.8pt;height:169.8pt;z-index:251667456;mso-position-horizontal-relative:text;mso-position-vertical-relative:text" wrapcoords="-77 0 -77 21504 21600 21504 21600 0 -77 0">
                  <v:imagedata r:id="rId20" o:title=""/>
                  <w10:wrap type="tight"/>
                </v:shape>
                <o:OLEObject Type="Embed" ProgID="SigmaPlotGraphicObject.7" ShapeID="_x0000_s1033" DrawAspect="Content" ObjectID="_1770983011" r:id="rId21"/>
              </w:pic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6" type="#_x0000_t75" style="position:absolute;margin-left:-4.5pt;margin-top:.4pt;width:211.8pt;height:169.8pt;z-index:251670528;mso-position-horizontal-relative:text;mso-position-vertical-relative:text" wrapcoords="-77 0 -77 21504 21600 21504 21600 0 -77 0">
                  <v:imagedata r:id="rId22" o:title=""/>
                  <w10:wrap type="tight"/>
                </v:shape>
                <o:OLEObject Type="Embed" ProgID="SigmaPlotGraphicObject.7" ShapeID="_x0000_s1036" DrawAspect="Content" ObjectID="_1770983012" r:id="rId23"/>
              </w:pict>
            </w:r>
          </w:p>
        </w:tc>
      </w:tr>
      <w:tr w:rsidR="00E66BBD" w:rsidTr="005821B7"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4" type="#_x0000_t75" style="position:absolute;margin-left:-5.15pt;margin-top:.2pt;width:211.8pt;height:169.8pt;z-index:251668480;mso-position-horizontal-relative:text;mso-position-vertical-relative:text" wrapcoords="-77 0 -77 21504 21600 21504 21600 0 -77 0">
                  <v:imagedata r:id="rId24" o:title=""/>
                  <w10:wrap type="tight"/>
                </v:shape>
                <o:OLEObject Type="Embed" ProgID="SigmaPlotGraphicObject.7" ShapeID="_x0000_s1034" DrawAspect="Content" ObjectID="_1770983013" r:id="rId25"/>
              </w:pict>
            </w:r>
          </w:p>
        </w:tc>
        <w:tc>
          <w:tcPr>
            <w:tcW w:w="4814" w:type="dxa"/>
          </w:tcPr>
          <w:p w:rsidR="00E66BBD" w:rsidRDefault="00E66BBD" w:rsidP="005821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7" type="#_x0000_t75" style="position:absolute;margin-left:-4.85pt;margin-top:0;width:211.8pt;height:169.8pt;z-index:251671552;mso-position-horizontal-relative:text;mso-position-vertical-relative:text" wrapcoords="-77 0 -77 21504 21600 21504 21600 0 -77 0">
                  <v:imagedata r:id="rId26" o:title=""/>
                  <w10:wrap type="tight"/>
                </v:shape>
                <o:OLEObject Type="Embed" ProgID="SigmaPlotGraphicObject.7" ShapeID="_x0000_s1037" DrawAspect="Content" ObjectID="_1770983014" r:id="rId27"/>
              </w:pict>
            </w:r>
          </w:p>
        </w:tc>
      </w:tr>
    </w:tbl>
    <w:p w:rsidR="00E66BBD" w:rsidRPr="009B3224" w:rsidRDefault="00E66BBD" w:rsidP="00E66BBD">
      <w:pPr>
        <w:adjustRightInd w:val="0"/>
        <w:snapToGrid w:val="0"/>
        <w:ind w:left="656" w:right="-1" w:hangingChars="297" w:hanging="65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Figure S1. </w:t>
      </w:r>
      <w:r w:rsidRPr="0022272C">
        <w:rPr>
          <w:rFonts w:ascii="Times New Roman" w:hAnsi="Times New Roman" w:cs="Times New Roman"/>
        </w:rPr>
        <w:t xml:space="preserve">Effects of sesamolin and sesamin on the lifespan of wild-type </w:t>
      </w:r>
      <w:r w:rsidRPr="00A5069E">
        <w:rPr>
          <w:rFonts w:ascii="Times New Roman" w:hAnsi="Times New Roman" w:cs="Times New Roman"/>
          <w:i/>
          <w:iCs/>
        </w:rPr>
        <w:t>C. elegans</w:t>
      </w:r>
      <w:r w:rsidRPr="0022272C">
        <w:rPr>
          <w:rFonts w:ascii="Times New Roman" w:hAnsi="Times New Roman" w:cs="Times New Roman"/>
        </w:rPr>
        <w:t xml:space="preserve"> under dead bacterial or </w:t>
      </w:r>
      <w:r>
        <w:rPr>
          <w:rFonts w:ascii="Times New Roman" w:hAnsi="Times New Roman" w:cs="Times New Roman"/>
        </w:rPr>
        <w:t>a</w:t>
      </w:r>
      <w:r w:rsidRPr="0022272C">
        <w:rPr>
          <w:rFonts w:ascii="Times New Roman" w:hAnsi="Times New Roman" w:cs="Times New Roman"/>
        </w:rPr>
        <w:t>live bacterial culture.</w:t>
      </w:r>
      <w:r>
        <w:rPr>
          <w:rFonts w:ascii="Times New Roman" w:hAnsi="Times New Roman" w:cs="Times New Roman"/>
        </w:rPr>
        <w:t xml:space="preserve"> </w:t>
      </w:r>
      <w:r w:rsidRPr="009B3224">
        <w:rPr>
          <w:rFonts w:ascii="Times New Roman" w:hAnsi="Times New Roman" w:cs="Times New Roman"/>
          <w:bCs/>
        </w:rPr>
        <w:t>(a</w:t>
      </w:r>
      <w:r>
        <w:rPr>
          <w:rFonts w:ascii="Times New Roman" w:hAnsi="Times New Roman" w:cs="Times New Roman" w:hint="eastAsia"/>
          <w:bCs/>
        </w:rPr>
        <w:t>,</w:t>
      </w:r>
      <w:r>
        <w:rPr>
          <w:rFonts w:ascii="Times New Roman" w:hAnsi="Times New Roman" w:cs="Times New Roman"/>
          <w:bCs/>
        </w:rPr>
        <w:t xml:space="preserve"> b</w:t>
      </w:r>
      <w:r w:rsidRPr="009B3224">
        <w:rPr>
          <w:rFonts w:ascii="Times New Roman" w:hAnsi="Times New Roman" w:cs="Times New Roman"/>
          <w:bCs/>
        </w:rPr>
        <w:t>) For lifespan assay</w:t>
      </w:r>
      <w:r>
        <w:rPr>
          <w:rFonts w:ascii="Times New Roman" w:hAnsi="Times New Roman" w:cs="Times New Roman"/>
          <w:bCs/>
        </w:rPr>
        <w:t xml:space="preserve"> with dead </w:t>
      </w:r>
      <w:r w:rsidRPr="0022272C">
        <w:rPr>
          <w:rFonts w:ascii="Times New Roman" w:hAnsi="Times New Roman" w:cs="Times New Roman"/>
        </w:rPr>
        <w:t>bacterial</w:t>
      </w:r>
      <w:r w:rsidRPr="009B3224">
        <w:rPr>
          <w:rFonts w:ascii="Times New Roman" w:hAnsi="Times New Roman" w:cs="Times New Roman"/>
          <w:bCs/>
        </w:rPr>
        <w:t xml:space="preserve">, the nematodes were grown on plates containing </w:t>
      </w:r>
      <w:r>
        <w:rPr>
          <w:rFonts w:ascii="Times New Roman" w:hAnsi="Times New Roman" w:cs="Times New Roman"/>
          <w:bCs/>
        </w:rPr>
        <w:t xml:space="preserve">SM 256 </w:t>
      </w:r>
      <w:r w:rsidRPr="009B3224">
        <w:rPr>
          <w:rFonts w:ascii="Times New Roman" w:hAnsi="Times New Roman" w:cs="Times New Roman"/>
          <w:bCs/>
        </w:rPr>
        <w:t>nmol/plate</w:t>
      </w:r>
      <w:r>
        <w:rPr>
          <w:rFonts w:ascii="Times New Roman" w:hAnsi="Times New Roman" w:cs="Times New Roman"/>
          <w:bCs/>
        </w:rPr>
        <w:t xml:space="preserve"> or SA 16 </w:t>
      </w:r>
      <w:r w:rsidRPr="009B3224">
        <w:rPr>
          <w:rFonts w:ascii="Times New Roman" w:hAnsi="Times New Roman" w:cs="Times New Roman"/>
          <w:bCs/>
        </w:rPr>
        <w:t xml:space="preserve">nmol/plate (n = </w:t>
      </w:r>
      <w:r w:rsidRPr="009B3224">
        <w:rPr>
          <w:rFonts w:ascii="Times New Roman" w:hAnsi="Times New Roman" w:cs="Times New Roman"/>
          <w:bCs/>
        </w:rPr>
        <w:lastRenderedPageBreak/>
        <w:t>90) as described in Methods.</w:t>
      </w:r>
      <w:r>
        <w:rPr>
          <w:rFonts w:ascii="Times New Roman" w:hAnsi="Times New Roman" w:cs="Times New Roman"/>
          <w:bCs/>
        </w:rPr>
        <w:t xml:space="preserve"> (c, d)</w:t>
      </w:r>
      <w:r w:rsidRPr="009B3224">
        <w:rPr>
          <w:rFonts w:ascii="Times New Roman" w:hAnsi="Times New Roman" w:cs="Times New Roman"/>
          <w:bCs/>
        </w:rPr>
        <w:t xml:space="preserve"> For lifespan assay</w:t>
      </w:r>
      <w:r>
        <w:rPr>
          <w:rFonts w:ascii="Times New Roman" w:hAnsi="Times New Roman" w:cs="Times New Roman"/>
          <w:bCs/>
        </w:rPr>
        <w:t xml:space="preserve"> with alive </w:t>
      </w:r>
      <w:r w:rsidRPr="0022272C">
        <w:rPr>
          <w:rFonts w:ascii="Times New Roman" w:hAnsi="Times New Roman" w:cs="Times New Roman"/>
        </w:rPr>
        <w:t>bacterial</w:t>
      </w:r>
      <w:r w:rsidRPr="009B3224">
        <w:rPr>
          <w:rFonts w:ascii="Times New Roman" w:hAnsi="Times New Roman" w:cs="Times New Roman"/>
          <w:bCs/>
        </w:rPr>
        <w:t xml:space="preserve">, the nematodes were grown on plates containing </w:t>
      </w:r>
      <w:r>
        <w:rPr>
          <w:rFonts w:ascii="Times New Roman" w:hAnsi="Times New Roman" w:cs="Times New Roman"/>
          <w:bCs/>
        </w:rPr>
        <w:t xml:space="preserve">SM 256 </w:t>
      </w:r>
      <w:r w:rsidRPr="009B3224">
        <w:rPr>
          <w:rFonts w:ascii="Times New Roman" w:hAnsi="Times New Roman" w:cs="Times New Roman"/>
          <w:bCs/>
        </w:rPr>
        <w:t>nmol/plate</w:t>
      </w:r>
      <w:r>
        <w:rPr>
          <w:rFonts w:ascii="Times New Roman" w:hAnsi="Times New Roman" w:cs="Times New Roman"/>
          <w:bCs/>
        </w:rPr>
        <w:t xml:space="preserve"> or SA 16 </w:t>
      </w:r>
      <w:r w:rsidRPr="009B3224">
        <w:rPr>
          <w:rFonts w:ascii="Times New Roman" w:hAnsi="Times New Roman" w:cs="Times New Roman"/>
          <w:bCs/>
        </w:rPr>
        <w:t>nmol/plate (n = 90) as described in Methods.</w:t>
      </w:r>
      <w:r w:rsidRPr="009C7D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The figures in upper, middle and bottom are from one of the three independent experiments, respectively.</w:t>
      </w:r>
    </w:p>
    <w:p w:rsidR="0094127A" w:rsidRDefault="0094127A"/>
    <w:sectPr w:rsidR="009412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66BBD"/>
    <w:rsid w:val="0094127A"/>
    <w:rsid w:val="00E6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BBD"/>
    <w:pPr>
      <w:spacing w:after="0" w:line="240" w:lineRule="auto"/>
    </w:pPr>
    <w:rPr>
      <w:kern w:val="2"/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2024-03-03T06:41:00Z</dcterms:created>
  <dcterms:modified xsi:type="dcterms:W3CDTF">2024-03-03T06:41:00Z</dcterms:modified>
</cp:coreProperties>
</file>