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B2" w:rsidRPr="00FD4E16" w:rsidRDefault="002244B2" w:rsidP="002244B2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FD4E16">
        <w:rPr>
          <w:noProof/>
        </w:rPr>
        <w:drawing>
          <wp:inline distT="0" distB="0" distL="0" distR="0">
            <wp:extent cx="4680000" cy="2632429"/>
            <wp:effectExtent l="0" t="0" r="635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 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63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4B2" w:rsidRPr="00C26534" w:rsidRDefault="002244B2" w:rsidP="002244B2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351E3">
        <w:rPr>
          <w:rFonts w:ascii="Times New Roman" w:hAnsi="Times New Roman" w:cs="Times New Roman"/>
          <w:b/>
          <w:bCs/>
          <w:color w:val="000000" w:themeColor="text1"/>
        </w:rPr>
        <w:t xml:space="preserve">Fig. S2 </w:t>
      </w:r>
      <w:r w:rsidRPr="00C26534">
        <w:rPr>
          <w:rFonts w:ascii="Times New Roman" w:hAnsi="Times New Roman" w:cs="Times New Roman"/>
          <w:bCs/>
          <w:color w:val="000000" w:themeColor="text1"/>
        </w:rPr>
        <w:t>Relative quantitative heatmap analysis of the chemical markers in the PLF (green), PTF (orange), RPL (red) and RPT (blue) samples</w:t>
      </w:r>
      <w:r w:rsidRPr="00C26534">
        <w:rPr>
          <w:rFonts w:ascii="Times New Roman" w:hAnsi="Times New Roman" w:cs="Times New Roman"/>
        </w:rPr>
        <w:t xml:space="preserve"> (chemical marker 1-11: 3’-hydroxy puerarin, puerarin, 3’-methoxy puerarin, puerarin xyloside, daidzin, genistin, tectoridin, ononin, daidzein, genistein, and tectorigenin)</w:t>
      </w:r>
      <w:r w:rsidRPr="00C26534">
        <w:rPr>
          <w:rFonts w:ascii="Times New Roman" w:hAnsi="Times New Roman" w:cs="Times New Roman"/>
          <w:bCs/>
          <w:color w:val="000000" w:themeColor="text1"/>
        </w:rPr>
        <w:t>.</w:t>
      </w:r>
    </w:p>
    <w:p w:rsidR="003D6DF7" w:rsidRDefault="003D6DF7"/>
    <w:sectPr w:rsidR="003D6DF7">
      <w:footerReference w:type="default" r:id="rId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3536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165E" w:rsidRPr="00093EC2" w:rsidRDefault="003D6DF7" w:rsidP="00093EC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3E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3E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3E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44B2" w:rsidRPr="002244B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093E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2244B2"/>
    <w:rsid w:val="002244B2"/>
    <w:rsid w:val="003D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244B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244B2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2025-09-14T03:03:00Z</dcterms:created>
  <dcterms:modified xsi:type="dcterms:W3CDTF">2025-09-14T03:03:00Z</dcterms:modified>
</cp:coreProperties>
</file>